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jc w:val="center"/>
        <w:textAlignment w:val="baseline"/>
        <w:rPr>
          <w:rStyle w:val="10"/>
          <w:rFonts w:ascii="方正小标宋简体" w:hAnsi="宋体" w:eastAsia="方正小标宋简体" w:cs="Times New Roman"/>
          <w:bCs/>
          <w:color w:val="auto"/>
          <w:sz w:val="44"/>
          <w:szCs w:val="44"/>
        </w:rPr>
      </w:pPr>
    </w:p>
    <w:p>
      <w:pPr>
        <w:widowControl/>
        <w:adjustRightInd w:val="0"/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</w:p>
    <w:p>
      <w:pPr>
        <w:widowControl/>
        <w:adjustRightInd w:val="0"/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学位授权点建设年度报告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</w:pPr>
    </w:p>
    <w:p>
      <w:pPr>
        <w:spacing w:after="156" w:line="560" w:lineRule="exact"/>
        <w:jc w:val="center"/>
        <w:textAlignment w:val="baseline"/>
        <w:rPr>
          <w:rStyle w:val="10"/>
          <w:rFonts w:ascii="方正小标宋简体" w:hAnsi="宋体" w:eastAsia="方正小标宋简体" w:cs="Times New Roman"/>
          <w:bCs/>
          <w:color w:val="auto"/>
          <w:sz w:val="44"/>
          <w:szCs w:val="44"/>
        </w:rPr>
      </w:pPr>
    </w:p>
    <w:p>
      <w:pPr>
        <w:snapToGrid w:val="0"/>
        <w:jc w:val="center"/>
        <w:textAlignment w:val="baseline"/>
        <w:rPr>
          <w:rStyle w:val="10"/>
          <w:rFonts w:ascii="Times New Roman" w:hAnsi="Times New Roman" w:eastAsia="宋体"/>
          <w:b/>
          <w:color w:val="auto"/>
          <w:sz w:val="48"/>
          <w:szCs w:val="20"/>
        </w:rPr>
      </w:pPr>
    </w:p>
    <w:p>
      <w:pPr>
        <w:snapToGrid w:val="0"/>
        <w:jc w:val="center"/>
        <w:textAlignment w:val="baseline"/>
        <w:rPr>
          <w:rStyle w:val="10"/>
          <w:rFonts w:ascii="Times New Roman" w:hAnsi="Times New Roman" w:eastAsia="宋体"/>
          <w:b/>
          <w:color w:val="auto"/>
          <w:sz w:val="48"/>
          <w:szCs w:val="20"/>
        </w:rPr>
      </w:pPr>
    </w:p>
    <w:p>
      <w:pPr>
        <w:pStyle w:val="2"/>
        <w:ind w:firstLine="964"/>
        <w:rPr>
          <w:rStyle w:val="10"/>
          <w:rFonts w:ascii="Times New Roman" w:hAnsi="Times New Roman" w:eastAsia="宋体"/>
          <w:b/>
          <w:color w:val="auto"/>
          <w:sz w:val="48"/>
          <w:szCs w:val="20"/>
        </w:rPr>
      </w:pPr>
    </w:p>
    <w:p>
      <w:pPr>
        <w:rPr>
          <w:color w:val="auto"/>
        </w:rPr>
      </w:pPr>
    </w:p>
    <w:p>
      <w:pPr>
        <w:snapToGrid w:val="0"/>
        <w:spacing w:line="300" w:lineRule="auto"/>
        <w:jc w:val="center"/>
        <w:textAlignment w:val="baseline"/>
        <w:rPr>
          <w:rStyle w:val="10"/>
          <w:rFonts w:ascii="Times New Roman" w:hAnsi="Times New Roman" w:eastAsia="宋体"/>
          <w:b/>
          <w:color w:val="auto"/>
          <w:szCs w:val="32"/>
        </w:rPr>
      </w:pPr>
    </w:p>
    <w:tbl>
      <w:tblPr>
        <w:tblStyle w:val="7"/>
        <w:tblW w:w="5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</w:pPr>
            <w:r>
              <w:rPr>
                <w:rStyle w:val="10"/>
                <w:rFonts w:hint="eastAsia" w:ascii="Times New Roman" w:hAnsi="Times New Roman" w:eastAsia="宋体"/>
                <w:b/>
                <w:color w:val="auto"/>
                <w:spacing w:val="-10"/>
                <w:szCs w:val="32"/>
              </w:rPr>
              <w:t>学院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</w:pPr>
            <w:r>
              <w:rPr>
                <w:rStyle w:val="10"/>
                <w:rFonts w:hint="eastAsia" w:ascii="Times New Roman" w:hAnsi="Times New Roman"/>
                <w:b/>
                <w:color w:val="auto"/>
                <w:spacing w:val="-10"/>
                <w:szCs w:val="32"/>
              </w:rPr>
              <w:t>（</w:t>
            </w:r>
            <w:r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  <w:t>公章）</w:t>
            </w:r>
          </w:p>
        </w:tc>
        <w:tc>
          <w:tcPr>
            <w:tcW w:w="39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00" w:lineRule="auto"/>
              <w:textAlignment w:val="baseline"/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</w:pPr>
            <w:r>
              <w:rPr>
                <w:rStyle w:val="10"/>
                <w:rFonts w:hint="eastAsia" w:ascii="Times New Roman" w:hAnsi="Times New Roman" w:eastAsia="宋体"/>
                <w:b/>
                <w:color w:val="auto"/>
                <w:spacing w:val="-10"/>
                <w:szCs w:val="32"/>
              </w:rPr>
              <w:t>学位点</w:t>
            </w:r>
            <w:r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  <w:t>名称：</w:t>
            </w:r>
            <w:r>
              <w:rPr>
                <w:rStyle w:val="10"/>
                <w:rFonts w:hint="eastAsia" w:ascii="Times New Roman" w:hAnsi="Times New Roman" w:eastAsia="宋体"/>
                <w:b/>
                <w:color w:val="auto"/>
                <w:spacing w:val="-10"/>
                <w:szCs w:val="32"/>
              </w:rPr>
              <w:t>民族学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</w:pP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line="300" w:lineRule="auto"/>
              <w:textAlignment w:val="baseline"/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</w:pPr>
            <w:r>
              <w:rPr>
                <w:rStyle w:val="10"/>
                <w:rFonts w:hint="eastAsia" w:ascii="Times New Roman" w:hAnsi="Times New Roman" w:eastAsia="宋体"/>
                <w:b/>
                <w:color w:val="auto"/>
                <w:spacing w:val="-10"/>
                <w:szCs w:val="32"/>
              </w:rPr>
              <w:t>学位点</w:t>
            </w:r>
            <w:r>
              <w:rPr>
                <w:rStyle w:val="10"/>
                <w:rFonts w:ascii="Times New Roman" w:hAnsi="Times New Roman" w:eastAsia="宋体"/>
                <w:b/>
                <w:color w:val="auto"/>
                <w:spacing w:val="-10"/>
                <w:szCs w:val="32"/>
              </w:rPr>
              <w:t>代码：</w:t>
            </w:r>
            <w:r>
              <w:rPr>
                <w:rStyle w:val="10"/>
                <w:rFonts w:hint="eastAsia" w:ascii="Times New Roman" w:hAnsi="Times New Roman" w:eastAsia="宋体"/>
                <w:b/>
                <w:color w:val="auto"/>
                <w:spacing w:val="-10"/>
                <w:szCs w:val="32"/>
              </w:rPr>
              <w:t>0304</w:t>
            </w:r>
          </w:p>
        </w:tc>
      </w:tr>
    </w:tbl>
    <w:p>
      <w:pPr>
        <w:snapToGrid w:val="0"/>
        <w:spacing w:line="300" w:lineRule="auto"/>
        <w:jc w:val="center"/>
        <w:textAlignment w:val="baseline"/>
        <w:rPr>
          <w:rStyle w:val="10"/>
          <w:rFonts w:ascii="Times New Roman" w:hAnsi="Times New Roman" w:eastAsia="宋体"/>
          <w:b/>
          <w:color w:val="auto"/>
          <w:sz w:val="48"/>
          <w:szCs w:val="20"/>
        </w:rPr>
      </w:pPr>
    </w:p>
    <w:p>
      <w:pPr>
        <w:spacing w:line="560" w:lineRule="exact"/>
        <w:jc w:val="center"/>
        <w:textAlignment w:val="baseline"/>
        <w:rPr>
          <w:rStyle w:val="10"/>
          <w:rFonts w:ascii="Times New Roman" w:hAnsi="Times New Roman" w:eastAsia="楷体_GB2312"/>
          <w:b/>
          <w:color w:val="auto"/>
          <w:sz w:val="30"/>
          <w:szCs w:val="30"/>
        </w:rPr>
      </w:pPr>
    </w:p>
    <w:p>
      <w:pPr>
        <w:pStyle w:val="11"/>
        <w:widowControl/>
        <w:rPr>
          <w:rStyle w:val="10"/>
          <w:rFonts w:ascii="黑体" w:hAnsi="黑体" w:eastAsia="黑体"/>
          <w:color w:val="auto"/>
          <w:szCs w:val="32"/>
        </w:rPr>
      </w:pPr>
    </w:p>
    <w:p>
      <w:pPr>
        <w:spacing w:line="560" w:lineRule="exact"/>
        <w:jc w:val="center"/>
        <w:textAlignment w:val="baseline"/>
        <w:rPr>
          <w:rStyle w:val="10"/>
          <w:rFonts w:ascii="Times New Roman" w:hAnsi="Times New Roman" w:eastAsia="楷体_GB2312"/>
          <w:b/>
          <w:color w:val="auto"/>
          <w:sz w:val="30"/>
          <w:szCs w:val="30"/>
        </w:rPr>
      </w:pPr>
    </w:p>
    <w:p>
      <w:pPr>
        <w:pStyle w:val="2"/>
        <w:ind w:firstLine="602"/>
        <w:rPr>
          <w:rStyle w:val="10"/>
          <w:rFonts w:ascii="Times New Roman" w:hAnsi="Times New Roman" w:eastAsia="楷体_GB2312"/>
          <w:b/>
          <w:color w:val="auto"/>
          <w:sz w:val="30"/>
          <w:szCs w:val="30"/>
        </w:rPr>
      </w:pPr>
    </w:p>
    <w:p>
      <w:pPr>
        <w:rPr>
          <w:rStyle w:val="10"/>
          <w:rFonts w:ascii="Times New Roman" w:hAnsi="Times New Roman" w:eastAsia="楷体_GB2312"/>
          <w:b/>
          <w:color w:val="auto"/>
          <w:sz w:val="30"/>
          <w:szCs w:val="30"/>
        </w:rPr>
      </w:pPr>
    </w:p>
    <w:p>
      <w:pPr>
        <w:pStyle w:val="2"/>
        <w:ind w:firstLine="602"/>
        <w:rPr>
          <w:rStyle w:val="10"/>
          <w:rFonts w:ascii="Times New Roman" w:hAnsi="Times New Roman" w:eastAsia="楷体_GB2312"/>
          <w:b/>
          <w:color w:val="auto"/>
          <w:sz w:val="30"/>
          <w:szCs w:val="30"/>
        </w:rPr>
      </w:pPr>
    </w:p>
    <w:p>
      <w:pPr>
        <w:rPr>
          <w:rStyle w:val="10"/>
          <w:rFonts w:ascii="Times New Roman" w:hAnsi="Times New Roman" w:eastAsia="楷体_GB2312"/>
          <w:b/>
          <w:color w:val="auto"/>
          <w:sz w:val="30"/>
          <w:szCs w:val="30"/>
        </w:rPr>
      </w:pPr>
    </w:p>
    <w:p>
      <w:pPr>
        <w:pStyle w:val="2"/>
        <w:ind w:firstLine="420"/>
        <w:rPr>
          <w:color w:val="auto"/>
        </w:rPr>
      </w:pPr>
    </w:p>
    <w:p>
      <w:pPr>
        <w:spacing w:line="560" w:lineRule="exact"/>
        <w:jc w:val="center"/>
        <w:textAlignment w:val="baseline"/>
        <w:rPr>
          <w:rStyle w:val="10"/>
          <w:rFonts w:ascii="黑体" w:hAnsi="黑体" w:eastAsia="黑体"/>
          <w:color w:val="auto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Style w:val="10"/>
          <w:rFonts w:ascii="Times New Roman" w:hAnsi="Times New Roman" w:eastAsia="楷体_GB2312"/>
          <w:b/>
          <w:color w:val="auto"/>
          <w:szCs w:val="32"/>
        </w:rPr>
        <w:t>202</w:t>
      </w:r>
      <w:r>
        <w:rPr>
          <w:rStyle w:val="10"/>
          <w:rFonts w:hint="eastAsia" w:ascii="Times New Roman" w:hAnsi="Times New Roman" w:eastAsia="楷体_GB2312"/>
          <w:b/>
          <w:color w:val="auto"/>
          <w:szCs w:val="32"/>
          <w:lang w:val="en-US"/>
        </w:rPr>
        <w:t>4</w:t>
      </w:r>
      <w:r>
        <w:rPr>
          <w:rStyle w:val="10"/>
          <w:rFonts w:ascii="Times New Roman" w:hAnsi="Times New Roman" w:eastAsia="楷体_GB2312"/>
          <w:b/>
          <w:color w:val="auto"/>
          <w:szCs w:val="32"/>
        </w:rPr>
        <w:t>年</w:t>
      </w:r>
      <w:r>
        <w:rPr>
          <w:rStyle w:val="10"/>
          <w:rFonts w:hint="eastAsia" w:ascii="Times New Roman" w:hAnsi="Times New Roman" w:eastAsia="楷体_GB2312"/>
          <w:b/>
          <w:color w:val="auto"/>
          <w:szCs w:val="32"/>
        </w:rPr>
        <w:t>3</w:t>
      </w:r>
      <w:r>
        <w:rPr>
          <w:rStyle w:val="10"/>
          <w:rFonts w:ascii="Times New Roman" w:hAnsi="Times New Roman" w:eastAsia="楷体_GB2312"/>
          <w:b/>
          <w:color w:val="auto"/>
          <w:szCs w:val="32"/>
        </w:rPr>
        <w:t>月</w:t>
      </w:r>
      <w:r>
        <w:rPr>
          <w:rStyle w:val="10"/>
          <w:rFonts w:hint="eastAsia" w:ascii="Times New Roman" w:hAnsi="Times New Roman" w:eastAsia="楷体_GB2312"/>
          <w:b/>
          <w:color w:val="auto"/>
          <w:szCs w:val="32"/>
        </w:rPr>
        <w:t>24</w:t>
      </w:r>
      <w:r>
        <w:rPr>
          <w:rStyle w:val="10"/>
          <w:rFonts w:ascii="Times New Roman" w:hAnsi="Times New Roman" w:eastAsia="楷体_GB2312"/>
          <w:b/>
          <w:color w:val="auto"/>
          <w:szCs w:val="32"/>
        </w:rPr>
        <w:t>日</w:t>
      </w:r>
    </w:p>
    <w:p>
      <w:pPr>
        <w:spacing w:before="360" w:after="320" w:line="360" w:lineRule="auto"/>
        <w:jc w:val="center"/>
        <w:rPr>
          <w:rFonts w:ascii="方正小标宋_GBK" w:hAnsi="方正小标宋_GBK" w:eastAsia="方正小标宋_GBK" w:cs="方正小标宋_GBK"/>
          <w:b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年民族学学位授权点建设年度报告</w:t>
      </w:r>
    </w:p>
    <w:p>
      <w:pPr>
        <w:widowControl/>
        <w:spacing w:before="240" w:after="120"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一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>总体概况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学科历史悠久，培养体系完备。西北民族和边疆研究肇始于清中晚期的“西北之学”；民国时期，我校早期校长马鹤天是边疆学的重要开拓者之一； 1947年国立兰州大学设立边疆语文学系，开设有关民族学的课程，有一批从事西北少数民族研究的专家。1987年获批民族学硕士点，1990年获得博士学位授权点，1998年获批民族学本科专业。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目前，本学科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是西北地区最早形成从学士、硕士、博士，到博士后的完备的培养体系的民族学科研与教学单位。民族学是国家重点学科、甘肃省一级重点学科、甘肃省优势学科、省级特色专业，有省级教学团队。一级学科下设民族学、马克思主义民族理论与政策、中国少数民族史、民族社会学、藏学五个二级学科博士点和硕士点。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师资力量雄厚，“老—中—青”年龄结构合理。截止202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学科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有在职教职工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，其中教授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人（含外籍教授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人），副教授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人，青年研究员1人，讲师3人，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萃英博士后2人，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教辅人员2人。学科点新增硕士生导师4人，现共有博士生导师18人（含兼职），硕士生导师25人。人才培养不断优化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优秀生源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较为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充足，“双一流”生源逐年提升。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截止202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年底，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学科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在校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博士研究生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91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人，硕士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人。本年度招收博士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人（含国政院），硕士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生3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人（推免生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人，普通招考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人）。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获得博士学位者22人，获得硕士学位者32人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。博士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生协议和合同就业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人，就业率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91.09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%。硕士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生升学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协议和合同就业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人，就业率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46.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%。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多平台共建互促，形成发展合力。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教育部人文社科重点研究基地兰州大学西北少数民族研究中心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2000年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历史文化学院民族学系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中央统战部、中央宣传部、教育部、国家民委四部委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“兰州大学铸牢中华民族共同体意识研究基地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为本学科的主要依托单位，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同时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依托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跨学科平台兰州大学青藏高原人文环境研究院、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国家民委“一带一路”国别和区域研究中心“兰州大学欧盟研究中心”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中国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残疾人联合会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“中国民族地区残疾人事业发展研究中心”联合共建。建有协同育人、田野调查实习、社会工作实训基地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20余个；设有影视人类学实验室、民族心理学实验室、图书资料室、丝绸之路文化交流史资料中心、藏文文献室、铸牢中华民族共同体意识心理机制演示室、中国陆地边境口岸沙盘展示室、口岸实物展示室、中华人民共和国国门展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，收藏中外文专业图书5万余册，中外文报刊杂志百余种，力争建成甘青特有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民族数字资源库。</w:t>
      </w:r>
    </w:p>
    <w:p>
      <w:pPr>
        <w:widowControl/>
        <w:tabs>
          <w:tab w:val="left" w:pos="630"/>
        </w:tabs>
        <w:spacing w:before="240" w:after="120"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二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>研究生党建与思想政治教育工作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本学科实现“课程思政”全覆盖，专业课程育人评价机制继续完善，进一步完善思政教育覆盖课堂教学、研究生指导全过程，尤其注重将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中华民族共同体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教材和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党史、新中国史、改革开放史、社会主义发展史、中华民族发展史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等的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学习教育有效合理地引入课程学习环节。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强化实践育人，完善已形成的点线面全覆盖的社会实践体系。依托“杨建新奖学金”，形成研究生科研育人新模式。完善学生党支部开展的“薪火计划”活动，通过优秀高年级学生推荐专业书籍、举办读书兴趣小组等方式传承优良学风。截止本年底，已建成20余个实践平台，参与深度实践实习的学生达到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0余人次。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继续完善校院领导齐抓共管意识形态工作格局，完善了意识形态工作制度，优化了意识形态工作机制。持续排查宣传、理论、舆论、文化、媒体等阵地的意识形态风险，未出现意识形态阵地管理风险。根据学科特点，持续编印《意识形态工作与师德建设学习材料》。定期组织开展“广角对谈”活动，引导学生将铸牢中华民族共同体意识入脑、入心，自觉指导学习和生活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全面推进支部成员“两学一做”学习教育活动，落实“三会一课”和“主题党日”制度，落实支部建设“五融入”，组织生活“三结合”，有序开展各种社会实践活动，以实际行动践行党员先锋模范作用。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坚持以制度做保障，以理论学习为引领，以目标责任为导向，坚持聘请优秀教师任班主任，骨干党员教师任研究生支部书记，专职教师参与学生工作，不断完善专职为主、专兼结合、数量充足、政治可靠、素质过硬的思政工作队伍，不断提升管理和服务水平。</w:t>
      </w:r>
    </w:p>
    <w:p>
      <w:pPr>
        <w:widowControl/>
        <w:spacing w:before="240" w:after="120"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>研究生培养相关制度及执行情况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全面优化课程体系建设。以中国特色社会主义新时代为背景，突破传统文科的思维模式，促进多学科交叉与深度融合，从学科导向转向以需求为导向。在课程设置方面，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依照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培养方案，优化课程体系，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不断完善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跨学科、应用类、方法类课程；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搭建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新媒体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平台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开设“西北民族学”公众号，多维度扩宽师生交流渠道；组建拥有哈佛大学、弗吉尼亚大学、巴黎高等研究实践学院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印第安纳大学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、东京外国语大学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等国际一流大学教育背景的优秀教师团队，开设全英文课程。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不断强化对研究生实践教学与学术训练，服务地方社会。民族学专业的研究生需要具备获取知识、学术鉴别、科学研究、学术创新、学术交流以及扎实的田野工作的能力。开设田野调查方法、民族志写作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核心课程，强化实践教学环节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硕士研究生田野调查不少于三个月、博士研究生田野调查不少于一年。近五年来，先后挂牌成立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个实践教学育人协同基地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8个社会工作实训基地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同时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依托各类平台，实现了田野信息共享，为实践教学提供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保障。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本学科服务国家战略，持续在铸牢中华民族共同体意识、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构建人类命运共同体、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区域与民族发展、边疆安全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灾后重建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等领域开展调查研究，在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资政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报告、人才培养、干部培训等方面为民族地区的社会发展作出了较大贡献。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在获批的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项省部级及以上的咨询报告中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项报告学生直接参与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调研与撰写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不断完善学生评价标准，建立全新评价机制，研究生学位授予标准更加贴合教育改革趋向与学科实际。“破五唯”是教育评价改革的重要内容，力求建立以品德和能力为导向、以岗位需求为目标的人才使用机制，形成不拘一格降人才的良好局面。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以学术会议促进学术交流，提升兰大民族学学术声誉。本年度，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学科点召开了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第二届人类学教学论坛暨“民族志研究方法的教与学”国际研讨会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“各民族共创中华”论坛暨杨建新先生九十寿诞座谈会。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约有20余人/次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研究生积极参与上述学术活动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同时，积极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引导研究生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参与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学校与学院举办的研究生学术论坛及研究生省级、校级科研项目申报。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先后邀请中国社会科学院李大龙研究员、上海政法学院杨友孙教授、吉首大学罗康隆教授、中央民族大学严庆教授、云南大学何明教授、四川大学张泽洪教授、历史人类学家王明珂教授、云南大学庄孔韶教授、中央民族大学丁宏教授、美国应用人类学家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>Stephen L. Schensul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>Jean J. Schensul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夫妇、巴基斯坦旁遮普大学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>Mahboob Hussain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教授、中国藏学出版社总编辑王维强、中央民族大学祁进玉教授、中央民族大学楠木贤道教授等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三十余位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位专家学者举办线上、线下讲座。</w:t>
      </w:r>
    </w:p>
    <w:p>
      <w:pPr>
        <w:widowControl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坚持系统推进“三评”“三查”制度，切实提升教育教学质量。建立自我评价、学生评价与学科评价相结合的“三评”教学评价模式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本年度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继续开展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实施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课程教材讲义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等内容的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审查工作。由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各二级学科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学科负责人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系主任、研究所代表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逐级进行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审查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严把意识形态、课程思政及学术观。教学过程督导的“三查”政策，确保教学质量生命线。同时，强化导师负责制，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为年龄满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60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博士生导师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及兼职博士生导师配备校内合作导师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，以保证研究生的正常培养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。加强研究生的监管工作，严把开题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环节，明确要求预答辩应至少提前半年期举行，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促进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论文质量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的提升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一人硕士学位论文获得校级优秀论文。</w:t>
      </w:r>
    </w:p>
    <w:p>
      <w:pPr>
        <w:widowControl/>
        <w:spacing w:line="360" w:lineRule="auto"/>
        <w:ind w:firstLine="638" w:firstLineChars="228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除执行学校以及历史文化学院的相关奖助政策之外，学科面向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全日制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研究生设立杨建新奖学金。杨建新奖学金由杨建新教育基金设立，旨在培养、奖励我校民族学学科领域具有卓越研究潜力的优秀研究生。本年度成功举办第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届杨建新奖学金颁奖典礼，共有6名研究生荣获杨建新奖学金。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在师德师风建设方面，将其作为教师队伍建设的首要任务和评价师资素质的第一标准。着力健全师德师风建设长效机制，强化日常教育督导，全面提升教师思想政治素质和职业道德水平。成立师德师风工作领导小组，完善学院党委统一领导、各教师党支部、各研究所、各系齐抓共管、教师自我约束的领导体制和工作机制。定期召开师德师风建设工作会议，研究师德师风建设工作重点，建立师德师风评价长效机制。以教师党支部为核心组织开展师德师风常态化学习，通过主题党日、三会一课、支部书记讲党课等形式组织教职工学习《新时代高校教师职业行为十项准则》《师德师风警示教育典型案例汇编》等。在评选工作中，坚决实行“师德一票否决制”。完善广泛参与、客观公正、科学合理的师德师风监督机制，通过网上师德监督平台、师德投诉举报箱等学校师德监督体系，严查师德失范行为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在教师选拔培训方面，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积极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组织新入职教师、骨干教师参加学校各类师德师风培训活动；深入贯彻学习习近平总书记关于加强和改进民族工作的重要精神，邀请骨干教师讲授专题党课，支部全体党员学习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领会二十大报告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精神。号召向“萃英大先生”学习，坚守西部，树立终身学习意识，潜心育人，注重言传身教。</w:t>
      </w:r>
    </w:p>
    <w:p>
      <w:pPr>
        <w:widowControl/>
        <w:spacing w:before="240" w:after="120"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四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>研究生教育改革情况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科学研究稳中向好。学位点本年在SSCI、A&amp;HCI、CSSCI收录期刊等发表高水平学术论文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约50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篇，其中2篇论文被中国人民大学复印报刊资料转载，1篇论点摘编于《新华文摘》。获批横向、纵向科研项目30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其中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新增国家社科基金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7项，1项为重大项目。武沐教授等人的论文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Muslim Women of the Fergana Valley: A 19th-Century Ethnography from Central Asia by Vladimir Nalivkin and Maria Nalivkina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发表于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A&amp;HCI, </w:t>
      </w:r>
      <w:r>
        <w:rPr>
          <w:rFonts w:hint="eastAsia" w:ascii="Times New Roman" w:hAnsi="Times New Roman" w:eastAsia="仿宋_GB2312" w:cs="Times New Roman"/>
          <w:i/>
          <w:iCs/>
          <w:color w:val="auto"/>
          <w:kern w:val="0"/>
          <w:sz w:val="28"/>
          <w:szCs w:val="28"/>
          <w:lang w:val="en-US" w:eastAsia="zh-CN" w:bidi="ar"/>
        </w:rPr>
        <w:t>Ab Imperio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, 02/2023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；赵利生教授等人的论文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Living Arrangements and Subjective Well-Being of Elderly Chinese Tibetan People: The Mediating Role of Religion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发表于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SSCI，</w:t>
      </w:r>
      <w:r>
        <w:rPr>
          <w:rFonts w:hint="eastAsia" w:ascii="Times New Roman" w:hAnsi="Times New Roman" w:eastAsia="仿宋_GB2312" w:cs="Times New Roman"/>
          <w:i/>
          <w:iCs/>
          <w:color w:val="auto"/>
          <w:kern w:val="0"/>
          <w:sz w:val="28"/>
          <w:szCs w:val="28"/>
          <w:lang w:val="en-US" w:eastAsia="zh-CN" w:bidi="ar"/>
        </w:rPr>
        <w:t>Journal of Religion and Health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，01/2023；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周传斌教授等人的论文《民族学在我国西北地区的发展脉络》发表于《民族研究》，2023年第6期；宗喀·漾正冈布教授等人的论文《敦煌藏译〈大通方广经〉版本探微——以吐蕃文献PT 92/1、200、201，ITJ 207、250为中心》发表于《世界宗教研究》，2023年第2期。</w:t>
      </w:r>
    </w:p>
    <w:p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出版《中国少数民族图志（塔塔尔族）》《中国民族学（第二十七辑）》《各民族共创中华——杨建新先生九十诞辰文集》《牡丹中的秩序与认同——河湟地区各民族共有精神家园的区域性个案研究》《中国民族学（第二十七辑）》《中国民族学（第二十六辑）》《中国民族学（第二十五辑）》等学术著作6部，获批资政报告11份，其中2份被中央有关部门采纳，其余9份均被省部级及有关单位采纳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获得7项甘肃省第十七次哲学社会科学优秀成果奖，3项2022年度全国民族工作优秀调研报告奖项，1项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CTTI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2023年度智库建设优秀成果奖。具体为：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王希隆教授的论文《清前期哈密、吐鲁番维吾尔人迁居河西西部论述》、李静教授的论文《中华民族共同体意识结构的心理学分析》、焦若水教授的论文《家的复归与赋权：农村社会工作整合发展的文化基础》获甘肃省第十七次哲学社会科学优秀成果奖一等奖，徐黎丽教授的系列著作《中国陆地边境口岸行》（6册）、李正元副教授的编著《民族交往交流交融实录：（三）四海同风》、樊莹副教授的研究报告《各民族交往交流交融的实证研究——以河湟民族走廊的实证调查为个案》获甘肃省第十七次哲学社会科学优秀成果奖二等奖，王海飞教授的研究报告《河西走廊少数民族移民定居中的生态文明建设研究》获甘肃省第十七次哲学社会科学优秀成果奖三等奖，宗喀·漾正冈布教授团队的调研报告《微观视域下多民族交往交流交融的实践研究——基于青海省民和县杏儿藏族乡的调查》获2022年度全国民族工作优秀调研报告二等奖，周传斌教授团队的调研报告《甘肃民族团结进步授荣工作的现状与经验调研报告》、田烨教授团队的调研报告《关于内蒙古各族学生铸牢中华民族共同体意识情况的调研报告》获2022年度全国民族工作优秀调研报告三等奖，焦若水教授团队等撰写的《西部地区残疾人就业发展报告》入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CTTI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2023年度智库优秀成果一等奖。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学科建设不断完善，教师队伍建设不断加强。本年度引进中央民族大学博士生1人，聘任外籍教授1人，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选留萃英博士后1人，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招收萃英博士后2人。</w:t>
      </w:r>
      <w:r>
        <w:rPr>
          <w:rFonts w:ascii="仿宋_GB2312" w:hAnsi="仿宋_GB2312" w:eastAsia="仿宋_GB2312" w:cs="仿宋_GB2312"/>
          <w:color w:val="auto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人被聘为国家一级学会副会长</w:t>
      </w:r>
      <w:r>
        <w:rPr>
          <w:rFonts w:ascii="仿宋_GB2312" w:hAnsi="仿宋_GB2312" w:eastAsia="仿宋_GB2312" w:cs="仿宋_GB2312"/>
          <w:color w:val="auto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1人被聘为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国家一级学会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常务理事，1人为聘为全国性一级学术社团副秘书长。</w:t>
      </w:r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区位优势突出，学科特色鲜明。立足于“东进西出、进疆入藏”的区域优势，继承和发扬马鹤天、顾颉刚、谷苞、杨建新等在中华民族研究上奠定的学术传统，以铸牢中华民族共同体意识为主线，聚焦中华民族共同体意识的理论渊源、发展历程、现实经验研究，对民族和边疆地区出现的新问题展开系列探索，在统一多民族国家的结构形式、交往交流交融、中华民族共有精神家园、铸牢中华民族共同体意识研究等方面，产出了大量高质量、有深度的理论探讨和实证研究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深化历代中央政府对西北民族地区的治理研究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挖掘汉藏典籍中的各民族交往交流交融历史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拓展世界民族与边疆安全研究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积极介入中国民族学的本土转向与话语体系研究。为构建中国特色哲学社会科学学科体系、学术体系、话语体系提供了有力支撑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 w:bidi="ar"/>
        </w:rPr>
        <w:t>丰富了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理论研究和个案经验。</w:t>
      </w:r>
    </w:p>
    <w:p>
      <w:pPr>
        <w:spacing w:before="240" w:after="120" w:line="360" w:lineRule="auto"/>
        <w:ind w:left="479" w:leftChars="228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Hans"/>
        </w:rPr>
        <w:t>五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教育质量评估与分析</w:t>
      </w:r>
    </w:p>
    <w:p>
      <w:pPr>
        <w:spacing w:line="360" w:lineRule="auto"/>
        <w:ind w:firstLine="482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总体而言，202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年度民族学专业的研究生工作取得一定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成效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，尽管如此，仍有很大的改进空间。</w:t>
      </w:r>
    </w:p>
    <w:p>
      <w:pPr>
        <w:spacing w:line="360" w:lineRule="auto"/>
        <w:ind w:firstLine="482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科和教师队伍的发展现状与建设“双一流”民族学学科的目标之间仍存在较大差距。原因在于学科研究方向转型尚有欠缺，欠缺多学科交叉融合，服务国家与地方经济社会发展的能力仍有待进一步提升，教师的评价标准有待进一步优化。</w:t>
      </w:r>
    </w:p>
    <w:p>
      <w:pPr>
        <w:spacing w:line="360" w:lineRule="auto"/>
        <w:ind w:firstLine="482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对标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学位授权点建设目标任务台账，以做好学位授权点周期性合格评估的工作。本次工作从学位授权点与人才培养质量等方面全面展开，在不断对标的同时，学科也在进一步的查找问题，改进工作，凝练特色。</w:t>
      </w:r>
    </w:p>
    <w:p>
      <w:pPr>
        <w:spacing w:line="360" w:lineRule="auto"/>
        <w:ind w:firstLine="482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此外，本年度抽检的学位论文虽未出现不合格意见，但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在送审环节出现不合格的意见。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针对出现的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这一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情况，学科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提出整改意见，以探寻建立长效机制，力争杜绝此类情况的再次出现。</w:t>
      </w:r>
    </w:p>
    <w:p>
      <w:pPr>
        <w:spacing w:before="240" w:after="120"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Hans"/>
        </w:rPr>
        <w:t>六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改进措施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总体来看，继续深化铸牢中华民族共同体意识研究、拓展“一带一路”沿线国家和世界民族研究，促进多学科交叉融合，从实求知，构建具有中国特色、中国风格、中国气派的民族学学科体系、学术体系和话语体系。进一步凝练学科方向，从规模、层次和能力上进一步完善现有学术梯队，产出一批具有重要理论意义与现实意义的研究成果，重视实践应用，为国家和地方政府提供高水平咨询服务，加强国内外合作与交流，努力将中心建设成为民族学研究领域具有中国特色、国际影响、研教互促的新型研究基地和智库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强化教师思想政治素质考察，推动师德师风建设常态化、长效化。坚持中国特色，扎根中国、融通中外，立足时代、面向未来，坚定不移走中国特色社会主义教育发展道路。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巩固现有学科的基础上，立足西部民族地区社会发展的现实，深化边疆安全与发展研究，适时推动学科转型，着力在铸牢中华民族共同体意识的方向上深入探索，逐步向“一带一路”沿线国家和地区及世界民族研究领域拓展，实现学术研究“走出去”的目标，同时加强青藏高原人文环境、多元文化与社会工作、世界民族与国际政治、应用人类学、体质人类学等领域的跨学科研究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吸纳优秀人才，校、院、系（基地）携手引进人才，在一级学科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硕博士点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、国家级学术平台、专业排名冲A等背景下考虑学科人员建设的需求。通过外引内培，形成以学术带头人为主体，以中青年学术骨干为支撑，具有稳定的研究方向和可持续发展能力的教学、科研团队。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着力引进高层次人才，优化学缘结构，提升师资队伍整体水平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持续扩充科研队伍，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力争打造出一支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政治素质高、业务能力强、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结构合理的学术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同时加强科研队伍的国际交流，选派专职研究人员到国外知名教学、科研机构交流访问。推进人才称号回归学术性、荣誉性，推进教师科研评价突出质量导向，重点评价学术贡献、社会贡献以及支撑人才培养情况。重视习近平新时代中国特色社会主义思想进课堂，遵循教育规律和人才成长规律，坚持育人为本、德育为先、立德树人。培养具有社会责任感、人文精神、科学理念的创新型人才。在学生招生方面，加大宣传力度，促使优秀生源率不断上升，但同时要从源头上保证研究生质量，尤其是强化面试环节的重要作用，宁缺毋滥。不断优化研究生培养及实践教学，探索完善学术交流机制，鼓励引导研究生参与学术论坛、读书交流会，促进学术研究与交流的自主性，提升科研与写作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强化过程管理，形成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完善的研究生开题、预答辩、论文送审与论文答辩的制度体系。进一步严格导师学术指导的规则，对论文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送审合格、不合格，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抽查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合格、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合格的博士生导师和硕士生导师，严格按照学校有关规定执行。从研究生论文选题入手，以新时代民族理论与政策为指导，突出铸牢中华民族共同体意识的民族工作主线，凸显选题的理论意义与实践价值，推动研究的不断深化与拓展。对于已达到毕业年限，急于毕业的学生不能降低要求，要把好最后的关口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extAlignment w:val="baseline"/>
      <w:rPr>
        <w:rStyle w:val="10"/>
        <w:rFonts w:ascii="Times New Roman" w:hAnsi="Times New Roman" w:eastAsia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Times New Roman" w:hAnsi="Times New Roman" w:eastAsia="宋体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jc w:val="both"/>
                            <w:textAlignment w:val="baseline"/>
                            <w:rPr>
                              <w:rStyle w:val="10"/>
                              <w:rFonts w:ascii="Times New Roman" w:hAnsi="Times New Roman" w:eastAsia="宋体"/>
                              <w:sz w:val="20"/>
                              <w:szCs w:val="1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10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5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HqllNUAAAAGAQAADwAAAAAAAAABACAAAAAiAAAAZHJzL2Rvd25yZXYueG1s&#10;UEsBAhQAFAAAAAgAh07iQI4bhWPCAQAAjQMAAA4AAAAAAAAAAQAgAAAAJAEAAGRycy9lMm9Eb2Mu&#10;eG1sUEsFBgAAAAAGAAYAWQEAAFg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jc w:val="both"/>
                      <w:textAlignment w:val="baseline"/>
                      <w:rPr>
                        <w:rStyle w:val="10"/>
                        <w:rFonts w:ascii="Times New Roman" w:hAnsi="Times New Roman" w:eastAsia="宋体"/>
                        <w:sz w:val="20"/>
                        <w:szCs w:val="18"/>
                      </w:rPr>
                    </w:pPr>
                  </w:p>
                  <w:p>
                    <w:pPr>
                      <w:textAlignment w:val="baseline"/>
                      <w:rPr>
                        <w:rStyle w:val="10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zE4YWU4YzBiM2Y5YjAwZGVlNDY5NjE3OGMwYWMifQ=="/>
  </w:docVars>
  <w:rsids>
    <w:rsidRoot w:val="00667B16"/>
    <w:rsid w:val="000A4589"/>
    <w:rsid w:val="000C22D0"/>
    <w:rsid w:val="003D534B"/>
    <w:rsid w:val="003E34C1"/>
    <w:rsid w:val="004E774C"/>
    <w:rsid w:val="00561831"/>
    <w:rsid w:val="00667B16"/>
    <w:rsid w:val="007E528F"/>
    <w:rsid w:val="00814FB6"/>
    <w:rsid w:val="0099543F"/>
    <w:rsid w:val="00A57B72"/>
    <w:rsid w:val="00A87CEE"/>
    <w:rsid w:val="00B65C2E"/>
    <w:rsid w:val="00B87575"/>
    <w:rsid w:val="00F77EED"/>
    <w:rsid w:val="00FB4984"/>
    <w:rsid w:val="02227FE9"/>
    <w:rsid w:val="062006FE"/>
    <w:rsid w:val="0C462242"/>
    <w:rsid w:val="0E70142F"/>
    <w:rsid w:val="13BB2712"/>
    <w:rsid w:val="17A96C86"/>
    <w:rsid w:val="1B993CDA"/>
    <w:rsid w:val="1F9B475E"/>
    <w:rsid w:val="1FB54EE1"/>
    <w:rsid w:val="1FCD57DF"/>
    <w:rsid w:val="242E1C8E"/>
    <w:rsid w:val="28E05D06"/>
    <w:rsid w:val="2F0F4A6D"/>
    <w:rsid w:val="32A82405"/>
    <w:rsid w:val="33094ED9"/>
    <w:rsid w:val="33EA3E24"/>
    <w:rsid w:val="3A8F5315"/>
    <w:rsid w:val="3B8F6ED3"/>
    <w:rsid w:val="3BAF40E0"/>
    <w:rsid w:val="3D8E44A1"/>
    <w:rsid w:val="3DC66028"/>
    <w:rsid w:val="3DC96D13"/>
    <w:rsid w:val="3DE85B2E"/>
    <w:rsid w:val="3E923276"/>
    <w:rsid w:val="3FB16139"/>
    <w:rsid w:val="441204E8"/>
    <w:rsid w:val="45AF614C"/>
    <w:rsid w:val="49037048"/>
    <w:rsid w:val="4ADB47FB"/>
    <w:rsid w:val="4F19418E"/>
    <w:rsid w:val="4FFEF4D3"/>
    <w:rsid w:val="52EFF303"/>
    <w:rsid w:val="54BF40B9"/>
    <w:rsid w:val="5A4360C6"/>
    <w:rsid w:val="5AF50835"/>
    <w:rsid w:val="5B990A1A"/>
    <w:rsid w:val="5D4C0931"/>
    <w:rsid w:val="5D8C1727"/>
    <w:rsid w:val="5EBF8EB2"/>
    <w:rsid w:val="5F891A8F"/>
    <w:rsid w:val="60F0021E"/>
    <w:rsid w:val="61A905CB"/>
    <w:rsid w:val="6657607A"/>
    <w:rsid w:val="67BB1C34"/>
    <w:rsid w:val="68AE492F"/>
    <w:rsid w:val="6BCB555C"/>
    <w:rsid w:val="6DB470D9"/>
    <w:rsid w:val="6DB79D7B"/>
    <w:rsid w:val="6FFFB004"/>
    <w:rsid w:val="771EF44E"/>
    <w:rsid w:val="771F5792"/>
    <w:rsid w:val="776F74E7"/>
    <w:rsid w:val="77AB65B3"/>
    <w:rsid w:val="77FFEC53"/>
    <w:rsid w:val="7BF6AA15"/>
    <w:rsid w:val="7E751C9E"/>
    <w:rsid w:val="7F9D6D78"/>
    <w:rsid w:val="7FF203F6"/>
    <w:rsid w:val="7FFFAD0D"/>
    <w:rsid w:val="9BD300C9"/>
    <w:rsid w:val="BFF6EAAB"/>
    <w:rsid w:val="DDDDC432"/>
    <w:rsid w:val="DF7F3D6D"/>
    <w:rsid w:val="DFFB44F7"/>
    <w:rsid w:val="E1ED4E42"/>
    <w:rsid w:val="F7B66561"/>
    <w:rsid w:val="FBAFF5D6"/>
    <w:rsid w:val="FFE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NormalCharacter"/>
    <w:autoRedefine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1">
    <w:name w:val="Heading3"/>
    <w:basedOn w:val="1"/>
    <w:next w:val="1"/>
    <w:autoRedefine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5620</Words>
  <Characters>5698</Characters>
  <Lines>40</Lines>
  <Paragraphs>11</Paragraphs>
  <TotalTime>9</TotalTime>
  <ScaleCrop>false</ScaleCrop>
  <LinksUpToDate>false</LinksUpToDate>
  <CharactersWithSpaces>5699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2021-06-10T08:19:00Z</dcterms:created>
  <dc:creator>雪中的人</dc:creator>
  <cp:lastModifiedBy>StopRaining</cp:lastModifiedBy>
  <cp:lastPrinted>2021-06-11T15:44:00Z</cp:lastPrinted>
  <dcterms:modified xsi:type="dcterms:W3CDTF">2024-04-17T02:27:14Z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B5AAC0F2BC624768B49AFA6139C0ED1B_13</vt:lpwstr>
  </property>
  <property fmtid="{D5CDD505-2E9C-101B-9397-08002B2CF9AE}" pid="4" name="KSOSaveFontToCloudKey">
    <vt:lpwstr>364092123_cloud</vt:lpwstr>
  </property>
</Properties>
</file>